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0"/>
        <w:gridCol w:w="2645"/>
      </w:tblGrid>
      <w:tr w:rsidR="00017E33" w:rsidTr="00024C40">
        <w:trPr>
          <w:trHeight w:val="270"/>
        </w:trPr>
        <w:tc>
          <w:tcPr>
            <w:tcW w:w="10694" w:type="dxa"/>
            <w:gridSpan w:val="4"/>
          </w:tcPr>
          <w:p w:rsidR="00017E33" w:rsidRDefault="00AF52E1">
            <w:pPr>
              <w:pStyle w:val="TableParagraph"/>
              <w:spacing w:before="27"/>
              <w:ind w:left="4393" w:right="4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</w:tr>
      <w:tr w:rsidR="00017E33" w:rsidTr="00024C40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017E33" w:rsidRDefault="00AF52E1">
            <w:pPr>
              <w:pStyle w:val="TableParagraph"/>
              <w:tabs>
                <w:tab w:val="left" w:pos="1192"/>
              </w:tabs>
              <w:spacing w:before="35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017E33" w:rsidTr="00024C40">
        <w:trPr>
          <w:trHeight w:val="294"/>
        </w:trPr>
        <w:tc>
          <w:tcPr>
            <w:tcW w:w="2660" w:type="dxa"/>
          </w:tcPr>
          <w:p w:rsidR="00017E33" w:rsidRDefault="00AF52E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8034" w:type="dxa"/>
            <w:gridSpan w:val="3"/>
          </w:tcPr>
          <w:p w:rsidR="00017E33" w:rsidRDefault="000F537D" w:rsidP="00B8027F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Sr.</w:t>
            </w:r>
            <w:r w:rsidR="0048205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Executive</w:t>
            </w:r>
            <w:r w:rsidR="00020207">
              <w:rPr>
                <w:b/>
                <w:sz w:val="18"/>
              </w:rPr>
              <w:t xml:space="preserve"> – </w:t>
            </w:r>
            <w:r w:rsidR="00B8027F">
              <w:rPr>
                <w:b/>
                <w:sz w:val="18"/>
              </w:rPr>
              <w:t>Accounts Payable</w:t>
            </w:r>
          </w:p>
        </w:tc>
      </w:tr>
      <w:tr w:rsidR="00017E33" w:rsidTr="00024C40">
        <w:trPr>
          <w:trHeight w:val="220"/>
        </w:trPr>
        <w:tc>
          <w:tcPr>
            <w:tcW w:w="2660" w:type="dxa"/>
          </w:tcPr>
          <w:p w:rsidR="00017E33" w:rsidRDefault="00AF52E1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</w:tc>
        <w:tc>
          <w:tcPr>
            <w:tcW w:w="2979" w:type="dxa"/>
          </w:tcPr>
          <w:p w:rsidR="00017E33" w:rsidRDefault="00B802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Finance &amp; Accounts</w:t>
            </w:r>
          </w:p>
        </w:tc>
        <w:tc>
          <w:tcPr>
            <w:tcW w:w="2410" w:type="dxa"/>
          </w:tcPr>
          <w:p w:rsidR="00017E33" w:rsidRDefault="00AF52E1">
            <w:pPr>
              <w:pStyle w:val="TableParagraph"/>
              <w:spacing w:before="3" w:line="19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645" w:type="dxa"/>
          </w:tcPr>
          <w:p w:rsidR="00017E33" w:rsidRDefault="00B8027F">
            <w:pPr>
              <w:pStyle w:val="TableParagraph"/>
              <w:spacing w:before="3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Noida</w:t>
            </w:r>
          </w:p>
        </w:tc>
      </w:tr>
      <w:tr w:rsidR="00017E33" w:rsidTr="00024C40">
        <w:trPr>
          <w:trHeight w:val="436"/>
        </w:trPr>
        <w:tc>
          <w:tcPr>
            <w:tcW w:w="2660" w:type="dxa"/>
          </w:tcPr>
          <w:p w:rsidR="00017E33" w:rsidRDefault="00AF52E1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979" w:type="dxa"/>
          </w:tcPr>
          <w:p w:rsidR="00B8027F" w:rsidRDefault="00B8027F" w:rsidP="00B8027F">
            <w:pPr>
              <w:pStyle w:val="TableParagraph"/>
              <w:spacing w:before="0" w:line="218" w:lineRule="exact"/>
              <w:ind w:left="0" w:right="333"/>
              <w:rPr>
                <w:sz w:val="18"/>
              </w:rPr>
            </w:pPr>
            <w:r>
              <w:rPr>
                <w:sz w:val="18"/>
              </w:rPr>
              <w:t xml:space="preserve">  Manager Finance &amp;    </w:t>
            </w:r>
          </w:p>
          <w:p w:rsidR="00017E33" w:rsidRDefault="00B8027F" w:rsidP="00B8027F">
            <w:pPr>
              <w:pStyle w:val="TableParagraph"/>
              <w:spacing w:before="0" w:line="218" w:lineRule="exact"/>
              <w:ind w:left="0" w:right="333"/>
              <w:rPr>
                <w:sz w:val="18"/>
              </w:rPr>
            </w:pPr>
            <w:r>
              <w:rPr>
                <w:sz w:val="18"/>
              </w:rPr>
              <w:t xml:space="preserve">  Accounts </w:t>
            </w:r>
          </w:p>
        </w:tc>
        <w:tc>
          <w:tcPr>
            <w:tcW w:w="2410" w:type="dxa"/>
          </w:tcPr>
          <w:p w:rsidR="00017E33" w:rsidRDefault="00AF52E1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645" w:type="dxa"/>
          </w:tcPr>
          <w:p w:rsidR="00020207" w:rsidRDefault="00020207" w:rsidP="00020207">
            <w:pPr>
              <w:pStyle w:val="TableParagraph"/>
              <w:spacing w:before="3" w:line="197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  <w:p w:rsidR="00017E33" w:rsidRDefault="00B8027F" w:rsidP="00020207">
            <w:pPr>
              <w:pStyle w:val="TableParagraph"/>
              <w:spacing w:before="3" w:line="197" w:lineRule="exact"/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Finance Controller</w:t>
            </w:r>
          </w:p>
        </w:tc>
      </w:tr>
      <w:tr w:rsidR="00017E33" w:rsidTr="0048205A">
        <w:trPr>
          <w:trHeight w:val="2454"/>
        </w:trPr>
        <w:tc>
          <w:tcPr>
            <w:tcW w:w="10694" w:type="dxa"/>
            <w:gridSpan w:val="4"/>
          </w:tcPr>
          <w:p w:rsidR="00017E33" w:rsidRDefault="00AF52E1">
            <w:pPr>
              <w:pStyle w:val="TableParagraph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Brief Introduction: Vision India is a Business Conglomerate having three business ver</w:t>
            </w:r>
            <w:r w:rsidR="00020207">
              <w:rPr>
                <w:sz w:val="18"/>
              </w:rPr>
              <w:t>ticals - Staffing, Skilling &amp; Advisory Services</w:t>
            </w:r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32000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Indian,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India/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State(s)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proudly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 our clientele, we offer an assurance of proven credentials in the Staffing domain with a range of Organizations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India, South East Asia and Middle East. We wear ISO 9001, ISO 21001:2018, ISO 10002, ISO 14001, ISO/ IEC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20000, ISO 27001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OHSAS 18001 Certifications and sustain unwavering focus on delivering quality services 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achieve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efficacy.</w:t>
            </w:r>
          </w:p>
          <w:p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:rsidR="00017E33" w:rsidRDefault="00AF52E1" w:rsidP="0048205A">
            <w:pPr>
              <w:pStyle w:val="TableParagraph"/>
              <w:spacing w:before="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It has been growing top line consistently over the last many years. It stands proudly at 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>. 170 Crore of Revenue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48205A">
              <w:rPr>
                <w:sz w:val="18"/>
              </w:rPr>
              <w:t>20-21</w:t>
            </w:r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growths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YoY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couple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  <w:r>
              <w:rPr>
                <w:spacing w:val="-13"/>
                <w:sz w:val="18"/>
              </w:rPr>
              <w:t xml:space="preserve"> </w:t>
            </w:r>
            <w:r w:rsidR="0089282E">
              <w:rPr>
                <w:sz w:val="18"/>
              </w:rPr>
              <w:t>It’s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poised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sharper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top line growth in the ensuing years on the back of huge projects commissioned in </w:t>
            </w:r>
            <w:r w:rsidR="0048205A">
              <w:rPr>
                <w:sz w:val="18"/>
              </w:rPr>
              <w:t>2022-23</w:t>
            </w:r>
            <w:r>
              <w:rPr>
                <w:sz w:val="18"/>
              </w:rPr>
              <w:t xml:space="preserve"> as well as strong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side.</w:t>
            </w:r>
          </w:p>
        </w:tc>
      </w:tr>
      <w:tr w:rsidR="00017E33" w:rsidTr="00024C40">
        <w:trPr>
          <w:trHeight w:val="217"/>
        </w:trPr>
        <w:tc>
          <w:tcPr>
            <w:tcW w:w="10694" w:type="dxa"/>
            <w:gridSpan w:val="4"/>
            <w:shd w:val="clear" w:color="auto" w:fill="E6E6E6"/>
          </w:tcPr>
          <w:p w:rsidR="00017E33" w:rsidRDefault="00AF52E1">
            <w:pPr>
              <w:pStyle w:val="TableParagraph"/>
              <w:tabs>
                <w:tab w:val="left" w:pos="1192"/>
              </w:tabs>
              <w:spacing w:line="197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</w:p>
        </w:tc>
      </w:tr>
      <w:tr w:rsidR="00017E33" w:rsidTr="00024C40">
        <w:trPr>
          <w:trHeight w:val="688"/>
        </w:trPr>
        <w:tc>
          <w:tcPr>
            <w:tcW w:w="10694" w:type="dxa"/>
            <w:gridSpan w:val="4"/>
          </w:tcPr>
          <w:p w:rsidR="00017E33" w:rsidRDefault="00C20181" w:rsidP="00FD4DB7">
            <w:pPr>
              <w:pStyle w:val="TableParagraph"/>
              <w:spacing w:line="242" w:lineRule="auto"/>
              <w:jc w:val="both"/>
              <w:rPr>
                <w:sz w:val="18"/>
              </w:rPr>
            </w:pPr>
            <w:r>
              <w:rPr>
                <w:color w:val="1F2023"/>
                <w:sz w:val="18"/>
              </w:rPr>
              <w:t xml:space="preserve">Incumbent will be </w:t>
            </w:r>
            <w:r w:rsidR="00FD4DB7">
              <w:rPr>
                <w:color w:val="1F2023"/>
                <w:sz w:val="18"/>
              </w:rPr>
              <w:t xml:space="preserve">responsible to </w:t>
            </w:r>
            <w:r w:rsidR="00024C40">
              <w:rPr>
                <w:color w:val="1F2023"/>
                <w:sz w:val="18"/>
              </w:rPr>
              <w:t>keep</w:t>
            </w:r>
            <w:r w:rsidR="00024C40" w:rsidRPr="00024C40">
              <w:rPr>
                <w:color w:val="1F2023"/>
                <w:sz w:val="18"/>
              </w:rPr>
              <w:t xml:space="preserve"> track of all payments and expenditures, including payroll, purchase orders, invoices, statements, etc. Reconciling processed work by verifying entries and comparing system reports to balances. Ma</w:t>
            </w:r>
            <w:r w:rsidR="00024C40">
              <w:rPr>
                <w:color w:val="1F2023"/>
                <w:sz w:val="18"/>
              </w:rPr>
              <w:t>intaining historical records &amp; pa</w:t>
            </w:r>
            <w:r w:rsidR="00024C40" w:rsidRPr="00024C40">
              <w:rPr>
                <w:color w:val="1F2023"/>
                <w:sz w:val="18"/>
              </w:rPr>
              <w:t>ying employees by verifying expense reports and preparing pay checks.</w:t>
            </w:r>
          </w:p>
        </w:tc>
      </w:tr>
      <w:tr w:rsidR="00017E33" w:rsidTr="00024C40">
        <w:trPr>
          <w:trHeight w:val="220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017E33" w:rsidRDefault="00AF52E1">
            <w:pPr>
              <w:pStyle w:val="TableParagraph"/>
              <w:tabs>
                <w:tab w:val="left" w:pos="1197"/>
              </w:tabs>
              <w:spacing w:line="199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RESPONSIBILITIES</w:t>
            </w:r>
          </w:p>
        </w:tc>
      </w:tr>
      <w:tr w:rsidR="00017E33" w:rsidTr="000F537D">
        <w:trPr>
          <w:trHeight w:val="2422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>Process outgoing payments in compliance with financial policies and procedures</w:t>
            </w:r>
          </w:p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>Perform day to day financial transactions, including verifying, classifying, and recording accounts payable data</w:t>
            </w:r>
          </w:p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>Reconcile the accounts payable ledger to ensure that all bills and payments are accounted for and properly posted.</w:t>
            </w:r>
          </w:p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 xml:space="preserve">Verify and investigate discrepancies, if any, </w:t>
            </w:r>
          </w:p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>Facilitate payment of invoices due by sending bill reminders and contacting clients</w:t>
            </w:r>
          </w:p>
          <w:p w:rsid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>Generate reports detailing accounts payables status</w:t>
            </w:r>
          </w:p>
          <w:p w:rsidR="006E0863" w:rsidRPr="000F537D" w:rsidRDefault="006E0863" w:rsidP="000F537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color w:val="1F2023"/>
                <w:sz w:val="18"/>
              </w:rPr>
            </w:pPr>
            <w:r w:rsidRPr="000F537D">
              <w:rPr>
                <w:color w:val="1F2023"/>
                <w:sz w:val="18"/>
              </w:rPr>
              <w:t xml:space="preserve">Understand </w:t>
            </w:r>
            <w:r w:rsidR="000F537D">
              <w:rPr>
                <w:color w:val="1F2023"/>
                <w:sz w:val="18"/>
              </w:rPr>
              <w:t>expense accounts and cost center</w:t>
            </w:r>
            <w:r w:rsidRPr="000F537D">
              <w:rPr>
                <w:color w:val="1F2023"/>
                <w:sz w:val="18"/>
              </w:rPr>
              <w:t>s</w:t>
            </w:r>
          </w:p>
          <w:p w:rsidR="0048205A" w:rsidRDefault="006E0863" w:rsidP="008602EB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spacing w:before="0" w:line="209" w:lineRule="exact"/>
              <w:jc w:val="both"/>
              <w:rPr>
                <w:color w:val="1F2023"/>
                <w:sz w:val="18"/>
              </w:rPr>
            </w:pPr>
            <w:r w:rsidRPr="0048205A">
              <w:rPr>
                <w:color w:val="1F2023"/>
                <w:sz w:val="18"/>
              </w:rPr>
              <w:t xml:space="preserve">Understands compliance issues around accounts payable processes </w:t>
            </w:r>
          </w:p>
          <w:p w:rsidR="000F537D" w:rsidRPr="0048205A" w:rsidRDefault="000F537D" w:rsidP="008602EB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spacing w:before="0" w:line="209" w:lineRule="exact"/>
              <w:jc w:val="both"/>
              <w:rPr>
                <w:color w:val="1F2023"/>
                <w:sz w:val="18"/>
              </w:rPr>
            </w:pPr>
            <w:r w:rsidRPr="0048205A">
              <w:rPr>
                <w:color w:val="1F2023"/>
                <w:sz w:val="18"/>
              </w:rPr>
              <w:t xml:space="preserve">Should have </w:t>
            </w:r>
            <w:r w:rsidR="0048205A">
              <w:rPr>
                <w:color w:val="1F2023"/>
                <w:sz w:val="18"/>
              </w:rPr>
              <w:t xml:space="preserve">rich experience on working in </w:t>
            </w:r>
            <w:r w:rsidRPr="0048205A">
              <w:rPr>
                <w:color w:val="1F2023"/>
                <w:sz w:val="18"/>
              </w:rPr>
              <w:t>Tally 9.</w:t>
            </w:r>
          </w:p>
          <w:p w:rsidR="00017E33" w:rsidRDefault="00017E33" w:rsidP="00020207">
            <w:pPr>
              <w:pStyle w:val="TableParagraph"/>
              <w:tabs>
                <w:tab w:val="left" w:pos="981"/>
                <w:tab w:val="left" w:pos="982"/>
              </w:tabs>
              <w:spacing w:before="0" w:line="209" w:lineRule="exact"/>
              <w:ind w:left="981"/>
              <w:rPr>
                <w:rFonts w:ascii="Wingdings" w:hAnsi="Wingdings"/>
                <w:sz w:val="18"/>
              </w:rPr>
            </w:pPr>
          </w:p>
        </w:tc>
      </w:tr>
      <w:tr w:rsidR="00017E33" w:rsidTr="00024C40">
        <w:trPr>
          <w:trHeight w:val="438"/>
        </w:trPr>
        <w:tc>
          <w:tcPr>
            <w:tcW w:w="1069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017E33" w:rsidRDefault="00017E33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017E33" w:rsidRDefault="00AF52E1">
            <w:pPr>
              <w:pStyle w:val="TableParagraph"/>
              <w:tabs>
                <w:tab w:val="left" w:pos="1195"/>
              </w:tabs>
              <w:spacing w:before="0" w:line="197" w:lineRule="exact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INDICATORS</w:t>
            </w:r>
          </w:p>
        </w:tc>
      </w:tr>
    </w:tbl>
    <w:p w:rsidR="00017E33" w:rsidRDefault="00AF52E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3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7B5">
        <w:pict>
          <v:rect id="_x0000_s1026" style="position:absolute;margin-left:36.25pt;margin-top:313.95pt;width:523.9pt;height:10.9pt;z-index:-251658240;mso-position-horizontal-relative:page;mso-position-vertical-relative:page" stroked="f">
            <w10:wrap anchorx="page" anchory="page"/>
          </v:rect>
        </w:pict>
      </w:r>
    </w:p>
    <w:p w:rsidR="00017E33" w:rsidRDefault="00017E33">
      <w:pPr>
        <w:rPr>
          <w:sz w:val="2"/>
          <w:szCs w:val="2"/>
        </w:rPr>
        <w:sectPr w:rsidR="00017E33">
          <w:headerReference w:type="default" r:id="rId8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549"/>
        <w:gridCol w:w="553"/>
        <w:gridCol w:w="6903"/>
      </w:tblGrid>
      <w:tr w:rsidR="00017E33" w:rsidTr="000F537D">
        <w:trPr>
          <w:trHeight w:val="885"/>
        </w:trPr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spacing w:before="30" w:line="242" w:lineRule="auto"/>
              <w:ind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Measurable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Deliverables</w:t>
            </w:r>
          </w:p>
        </w:tc>
        <w:tc>
          <w:tcPr>
            <w:tcW w:w="900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D4DB7" w:rsidRDefault="000F537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Timely Payment</w:t>
            </w:r>
          </w:p>
          <w:p w:rsidR="000F537D" w:rsidRDefault="000F537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Accuracy </w:t>
            </w:r>
          </w:p>
          <w:p w:rsidR="000F537D" w:rsidRDefault="000F537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In Time Data &amp; Records</w:t>
            </w:r>
          </w:p>
        </w:tc>
      </w:tr>
      <w:tr w:rsidR="00017E33" w:rsidTr="000F537D">
        <w:trPr>
          <w:trHeight w:val="282"/>
        </w:trPr>
        <w:tc>
          <w:tcPr>
            <w:tcW w:w="10719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17E33" w:rsidRDefault="00AF52E1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</w:tr>
      <w:tr w:rsidR="00017E33" w:rsidTr="000F537D">
        <w:trPr>
          <w:trHeight w:val="274"/>
        </w:trPr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spacing w:before="0" w:line="220" w:lineRule="exact"/>
              <w:ind w:right="756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Qualifications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0F53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B.Com </w:t>
            </w:r>
          </w:p>
        </w:tc>
      </w:tr>
      <w:tr w:rsidR="00017E33" w:rsidTr="000F537D">
        <w:trPr>
          <w:trHeight w:val="216"/>
        </w:trPr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spacing w:before="0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0F537D" w:rsidP="0048205A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 xml:space="preserve">Minimum 2 </w:t>
            </w:r>
            <w:r w:rsidR="0048205A">
              <w:rPr>
                <w:sz w:val="18"/>
              </w:rPr>
              <w:t xml:space="preserve"> to 4 </w:t>
            </w:r>
            <w:r>
              <w:rPr>
                <w:sz w:val="18"/>
              </w:rPr>
              <w:t xml:space="preserve">Years with </w:t>
            </w:r>
            <w:r w:rsidR="0048205A">
              <w:rPr>
                <w:sz w:val="18"/>
              </w:rPr>
              <w:t xml:space="preserve">hands on experience in </w:t>
            </w:r>
            <w:r>
              <w:rPr>
                <w:sz w:val="18"/>
              </w:rPr>
              <w:t xml:space="preserve"> Tally</w:t>
            </w:r>
            <w:r w:rsidR="0048205A">
              <w:rPr>
                <w:sz w:val="18"/>
              </w:rPr>
              <w:t xml:space="preserve"> 9</w:t>
            </w:r>
          </w:p>
        </w:tc>
      </w:tr>
      <w:tr w:rsidR="00017E33" w:rsidTr="000F537D">
        <w:trPr>
          <w:trHeight w:val="217"/>
        </w:trPr>
        <w:tc>
          <w:tcPr>
            <w:tcW w:w="32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0F537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AF52E1">
              <w:rPr>
                <w:spacing w:val="-2"/>
                <w:sz w:val="18"/>
              </w:rPr>
              <w:t xml:space="preserve"> </w:t>
            </w:r>
            <w:r w:rsidR="00AF52E1">
              <w:rPr>
                <w:sz w:val="18"/>
              </w:rPr>
              <w:t>to</w:t>
            </w:r>
            <w:r w:rsidR="00AF52E1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="00AF52E1">
              <w:rPr>
                <w:spacing w:val="-2"/>
                <w:sz w:val="18"/>
              </w:rPr>
              <w:t xml:space="preserve"> </w:t>
            </w:r>
            <w:r w:rsidR="00AF52E1">
              <w:rPr>
                <w:sz w:val="18"/>
              </w:rPr>
              <w:t>Year</w:t>
            </w:r>
            <w:r w:rsidR="00FB6862">
              <w:rPr>
                <w:sz w:val="18"/>
              </w:rPr>
              <w:t>s</w:t>
            </w:r>
          </w:p>
        </w:tc>
      </w:tr>
      <w:tr w:rsidR="00017E33" w:rsidTr="000F537D">
        <w:trPr>
          <w:trHeight w:val="218"/>
        </w:trPr>
        <w:tc>
          <w:tcPr>
            <w:tcW w:w="10719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INTERACTIONS</w:t>
            </w:r>
          </w:p>
        </w:tc>
      </w:tr>
      <w:tr w:rsidR="00017E33" w:rsidTr="000F537D">
        <w:trPr>
          <w:trHeight w:val="217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AF52E1">
            <w:pPr>
              <w:pStyle w:val="TableParagraph"/>
              <w:spacing w:line="197" w:lineRule="exact"/>
              <w:ind w:left="1834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  <w:tr w:rsidR="00017E33" w:rsidTr="000F537D">
        <w:trPr>
          <w:trHeight w:val="220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3"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Heads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AF52E1" w:rsidP="003E1AF0">
            <w:pPr>
              <w:pStyle w:val="TableParagraph"/>
              <w:spacing w:before="3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 w:rsidR="003E1AF0">
              <w:rPr>
                <w:sz w:val="18"/>
              </w:rPr>
              <w:t>transactions</w:t>
            </w:r>
            <w:r w:rsidR="00FD4DB7">
              <w:rPr>
                <w:sz w:val="18"/>
              </w:rPr>
              <w:t xml:space="preserve"> as per the business</w:t>
            </w:r>
          </w:p>
        </w:tc>
      </w:tr>
      <w:tr w:rsidR="00017E33" w:rsidTr="000F537D">
        <w:trPr>
          <w:trHeight w:val="217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AF52E1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Automation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</w:p>
        </w:tc>
      </w:tr>
      <w:tr w:rsidR="00017E33" w:rsidTr="000F537D">
        <w:trPr>
          <w:trHeight w:val="220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Payroll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FD4DB7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</w:tr>
      <w:tr w:rsidR="00017E33" w:rsidTr="000F537D">
        <w:trPr>
          <w:trHeight w:val="218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33" w:rsidRDefault="00AF52E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External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E33" w:rsidRDefault="00AF52E1">
            <w:pPr>
              <w:pStyle w:val="TableParagraph"/>
              <w:spacing w:line="197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</w:tbl>
    <w:p w:rsidR="00017E33" w:rsidRDefault="00017E33">
      <w:pPr>
        <w:pStyle w:val="BodyText"/>
        <w:rPr>
          <w:rFonts w:ascii="Times New Roman"/>
        </w:rPr>
      </w:pPr>
    </w:p>
    <w:p w:rsidR="00017E33" w:rsidRDefault="00017E33">
      <w:pPr>
        <w:pStyle w:val="BodyText"/>
        <w:spacing w:before="8"/>
        <w:rPr>
          <w:rFonts w:ascii="Times New Roman"/>
        </w:rPr>
      </w:pPr>
    </w:p>
    <w:p w:rsidR="00017E33" w:rsidRDefault="00AF52E1">
      <w:pPr>
        <w:spacing w:before="1"/>
        <w:ind w:left="1971" w:right="1693"/>
        <w:jc w:val="center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b/>
          <w:color w:val="FF0000"/>
          <w:sz w:val="20"/>
        </w:rPr>
        <w:t>Vision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India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Services,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www.vispl.co.in</w:t>
        </w:r>
      </w:hyperlink>
    </w:p>
    <w:p w:rsidR="00017E33" w:rsidRDefault="00017E33">
      <w:pPr>
        <w:pStyle w:val="BodyText"/>
        <w:spacing w:before="3"/>
        <w:rPr>
          <w:sz w:val="13"/>
        </w:rPr>
      </w:pPr>
    </w:p>
    <w:p w:rsidR="00017E33" w:rsidRDefault="00DA532A">
      <w:pPr>
        <w:pStyle w:val="BodyText"/>
        <w:spacing w:before="100"/>
        <w:ind w:left="1971" w:right="1688"/>
        <w:jc w:val="center"/>
      </w:pPr>
      <w:hyperlink w:history="1">
        <w:r w:rsidRPr="008E7957">
          <w:rPr>
            <w:rStyle w:val="Hyperlink"/>
            <w:u w:color="0000FF"/>
          </w:rPr>
          <w:t>www.justjob.co.in</w:t>
        </w:r>
        <w:r w:rsidRPr="008E7957">
          <w:rPr>
            <w:rStyle w:val="Hyperlink"/>
            <w:spacing w:val="-7"/>
          </w:rPr>
          <w:t xml:space="preserve"> </w:t>
        </w:r>
      </w:hyperlink>
      <w:r w:rsidR="00831D90">
        <w:rPr>
          <w:color w:val="0000FF"/>
          <w:u w:val="single" w:color="0000FF"/>
        </w:rPr>
        <w:t xml:space="preserve">, </w:t>
      </w:r>
      <w:hyperlink r:id="rId10">
        <w:r w:rsidR="00AF52E1">
          <w:rPr>
            <w:color w:val="0000FF"/>
            <w:u w:val="single" w:color="0000FF"/>
          </w:rPr>
          <w:t>www.liveskills.in</w:t>
        </w:r>
      </w:hyperlink>
    </w:p>
    <w:p w:rsidR="00017E33" w:rsidRDefault="00017E33">
      <w:pPr>
        <w:pStyle w:val="BodyText"/>
        <w:spacing w:before="1"/>
        <w:rPr>
          <w:sz w:val="13"/>
        </w:rPr>
      </w:pPr>
    </w:p>
    <w:p w:rsidR="00017E33" w:rsidRDefault="00AF52E1">
      <w:pPr>
        <w:pStyle w:val="BodyText"/>
        <w:spacing w:before="99" w:after="18"/>
        <w:ind w:left="995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us, please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below:</w:t>
      </w:r>
    </w:p>
    <w:p w:rsidR="00017E33" w:rsidRDefault="00AF52E1">
      <w:pPr>
        <w:pStyle w:val="BodyText"/>
        <w:ind w:left="5501"/>
      </w:pPr>
      <w:r>
        <w:rPr>
          <w:noProof/>
          <w:lang w:val="en-IN" w:eastAsia="en-IN"/>
        </w:rPr>
        <w:drawing>
          <wp:inline distT="0" distB="0" distL="0" distR="0">
            <wp:extent cx="971550" cy="3238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E33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B5" w:rsidRDefault="00D747B5">
      <w:r>
        <w:separator/>
      </w:r>
    </w:p>
  </w:endnote>
  <w:endnote w:type="continuationSeparator" w:id="0">
    <w:p w:rsidR="00D747B5" w:rsidRDefault="00D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B5" w:rsidRDefault="00D747B5">
      <w:r>
        <w:separator/>
      </w:r>
    </w:p>
  </w:footnote>
  <w:footnote w:type="continuationSeparator" w:id="0">
    <w:p w:rsidR="00D747B5" w:rsidRDefault="00D7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33" w:rsidRDefault="00AF52E1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487387648" behindDoc="1" locked="0" layoutInCell="1" allowOverlap="1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F0B"/>
    <w:multiLevelType w:val="hybridMultilevel"/>
    <w:tmpl w:val="584E4398"/>
    <w:lvl w:ilvl="0" w:tplc="B3900D7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169B1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50A080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78BAE1D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348201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DAC692A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2078DDA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0246ABA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595EF9F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D6556"/>
    <w:multiLevelType w:val="hybridMultilevel"/>
    <w:tmpl w:val="D750AA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307"/>
    <w:multiLevelType w:val="hybridMultilevel"/>
    <w:tmpl w:val="593A90B0"/>
    <w:lvl w:ilvl="0" w:tplc="55F6302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ACE39B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926C57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E124B1E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B60252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76ECAB0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BF9A1EE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930D99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7D0A776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BF6495"/>
    <w:multiLevelType w:val="hybridMultilevel"/>
    <w:tmpl w:val="E42852B0"/>
    <w:lvl w:ilvl="0" w:tplc="9B4641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889F7A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A56816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A838F0B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43D48FF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AB87B2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EADCA8C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FB3A74D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E0E05B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33179D"/>
    <w:multiLevelType w:val="hybridMultilevel"/>
    <w:tmpl w:val="1E3067DA"/>
    <w:lvl w:ilvl="0" w:tplc="9D6C9F1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A64C2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D64CE26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7ACD8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82E761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C1FA2C8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4F2001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53AEB5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EBCEEE9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20E651E"/>
    <w:multiLevelType w:val="hybridMultilevel"/>
    <w:tmpl w:val="D46CF51E"/>
    <w:lvl w:ilvl="0" w:tplc="4BD0C5D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C8C0B8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0A42F07C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B2E6B1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E44CB82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88428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A3AA82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4672E1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1920FA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DB52CB"/>
    <w:multiLevelType w:val="hybridMultilevel"/>
    <w:tmpl w:val="2B6400F2"/>
    <w:lvl w:ilvl="0" w:tplc="4A7E4BD8">
      <w:numFmt w:val="bullet"/>
      <w:lvlText w:val="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410E8"/>
    <w:multiLevelType w:val="hybridMultilevel"/>
    <w:tmpl w:val="7C3EB2B8"/>
    <w:lvl w:ilvl="0" w:tplc="D3CCF3F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3EE8A7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E35E4BD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AC28EFC2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824E8AAA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3A46F7D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FD60F908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3E6E84E2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07CF15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CAE1BA8"/>
    <w:multiLevelType w:val="multilevel"/>
    <w:tmpl w:val="5FB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B1484"/>
    <w:multiLevelType w:val="hybridMultilevel"/>
    <w:tmpl w:val="907A110C"/>
    <w:lvl w:ilvl="0" w:tplc="4A00332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264B810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CFB6204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96A002A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968147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827437A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D0AE318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AE46380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8A70708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253C03"/>
    <w:multiLevelType w:val="hybridMultilevel"/>
    <w:tmpl w:val="E670F936"/>
    <w:lvl w:ilvl="0" w:tplc="2536F154">
      <w:numFmt w:val="bullet"/>
      <w:lvlText w:val=""/>
      <w:lvlJc w:val="left"/>
      <w:pPr>
        <w:ind w:left="974" w:hanging="361"/>
      </w:pPr>
      <w:rPr>
        <w:rFonts w:hint="default"/>
        <w:w w:val="99"/>
        <w:lang w:val="en-US" w:eastAsia="en-US" w:bidi="ar-SA"/>
      </w:rPr>
    </w:lvl>
    <w:lvl w:ilvl="1" w:tplc="C14E65D6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2806FBC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36280122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D2BADAD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5" w:tplc="D7E06792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DE8068E6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C4487D9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AA146E9C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7E33"/>
    <w:rsid w:val="00017E33"/>
    <w:rsid w:val="00020207"/>
    <w:rsid w:val="00024C40"/>
    <w:rsid w:val="00054AE7"/>
    <w:rsid w:val="00083E66"/>
    <w:rsid w:val="000A77A0"/>
    <w:rsid w:val="000F537D"/>
    <w:rsid w:val="0020755F"/>
    <w:rsid w:val="00231AD3"/>
    <w:rsid w:val="00287FD7"/>
    <w:rsid w:val="00290428"/>
    <w:rsid w:val="002D3CF5"/>
    <w:rsid w:val="00336060"/>
    <w:rsid w:val="00337000"/>
    <w:rsid w:val="003E1AF0"/>
    <w:rsid w:val="0048205A"/>
    <w:rsid w:val="006E0863"/>
    <w:rsid w:val="00831D90"/>
    <w:rsid w:val="0089282E"/>
    <w:rsid w:val="008B63CA"/>
    <w:rsid w:val="008F2465"/>
    <w:rsid w:val="00923F73"/>
    <w:rsid w:val="00AF52E1"/>
    <w:rsid w:val="00B17386"/>
    <w:rsid w:val="00B8027F"/>
    <w:rsid w:val="00C20181"/>
    <w:rsid w:val="00D747B5"/>
    <w:rsid w:val="00DA480C"/>
    <w:rsid w:val="00DA532A"/>
    <w:rsid w:val="00DC72B7"/>
    <w:rsid w:val="00DF1A6C"/>
    <w:rsid w:val="00E97AE4"/>
    <w:rsid w:val="00EA52ED"/>
    <w:rsid w:val="00FB6862"/>
    <w:rsid w:val="00FC40FA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5B8228-5411-4E45-988F-B8CAC8C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character" w:styleId="Hyperlink">
    <w:name w:val="Hyperlink"/>
    <w:basedOn w:val="DefaultParagraphFont"/>
    <w:uiPriority w:val="99"/>
    <w:unhideWhenUsed/>
    <w:rsid w:val="00E9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liveskill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pl.co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Shreshtha</cp:lastModifiedBy>
  <cp:revision>31</cp:revision>
  <dcterms:created xsi:type="dcterms:W3CDTF">2021-05-11T14:11:00Z</dcterms:created>
  <dcterms:modified xsi:type="dcterms:W3CDTF">2022-08-22T11:32:00Z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